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F11" w:rsidRDefault="0018020A">
      <w:pPr>
        <w:rPr>
          <w:rFonts w:ascii="Times New Roman" w:hAnsi="Times New Roman"/>
          <w:b/>
          <w:sz w:val="24"/>
          <w:szCs w:val="24"/>
        </w:rPr>
      </w:pPr>
      <w:r>
        <w:rPr>
          <w:rFonts w:ascii="Times New Roman" w:hAnsi="Times New Roman"/>
          <w:b/>
          <w:sz w:val="24"/>
          <w:szCs w:val="24"/>
        </w:rPr>
        <w:t>POLITICA IN POCHE PAROLE</w:t>
      </w:r>
    </w:p>
    <w:p w:rsidR="007B5F11" w:rsidRDefault="0018020A">
      <w:r>
        <w:rPr>
          <w:rFonts w:ascii="Times New Roman" w:hAnsi="Times New Roman"/>
          <w:b/>
          <w:sz w:val="24"/>
          <w:szCs w:val="24"/>
        </w:rPr>
        <w:t xml:space="preserve">Astensionismo: </w:t>
      </w:r>
      <w:r>
        <w:rPr>
          <w:rFonts w:ascii="Times New Roman" w:hAnsi="Times New Roman"/>
          <w:sz w:val="24"/>
          <w:szCs w:val="24"/>
        </w:rPr>
        <w:t xml:space="preserve">in ambito politico è la non partecipazione al voto sia per un referendum, sia per elezioni. In Italia l'astensionismo ai referendum varia a seconda </w:t>
      </w:r>
      <w:r>
        <w:rPr>
          <w:rFonts w:ascii="Times New Roman" w:hAnsi="Times New Roman"/>
          <w:sz w:val="24"/>
          <w:szCs w:val="24"/>
        </w:rPr>
        <w:t>dell'interesse dell'elettore, mentre per le elezioni si registra un aumento progressivo.</w:t>
      </w:r>
    </w:p>
    <w:p w:rsidR="007B5F11" w:rsidRDefault="0018020A">
      <w:r>
        <w:rPr>
          <w:rFonts w:ascii="Times New Roman" w:hAnsi="Times New Roman"/>
          <w:b/>
          <w:sz w:val="24"/>
          <w:szCs w:val="24"/>
        </w:rPr>
        <w:t>Tassa:</w:t>
      </w:r>
      <w:r>
        <w:rPr>
          <w:rFonts w:ascii="Times New Roman" w:hAnsi="Times New Roman"/>
          <w:sz w:val="24"/>
          <w:szCs w:val="24"/>
        </w:rPr>
        <w:t xml:space="preserve"> è una tipologia di tributo che cittadini devono allo stato. Si differenzia dall'imposta poiché applicata secondo il </w:t>
      </w:r>
      <w:r>
        <w:rPr>
          <w:rFonts w:ascii="Times New Roman" w:hAnsi="Times New Roman"/>
          <w:iCs/>
          <w:sz w:val="24"/>
          <w:szCs w:val="24"/>
        </w:rPr>
        <w:t>principio della controprestazione</w:t>
      </w:r>
      <w:r>
        <w:rPr>
          <w:rFonts w:ascii="Times New Roman" w:hAnsi="Times New Roman"/>
          <w:sz w:val="24"/>
          <w:szCs w:val="24"/>
        </w:rPr>
        <w:t>; si tratta</w:t>
      </w:r>
      <w:r>
        <w:rPr>
          <w:rFonts w:ascii="Times New Roman" w:hAnsi="Times New Roman"/>
          <w:sz w:val="24"/>
          <w:szCs w:val="24"/>
        </w:rPr>
        <w:t xml:space="preserve"> infatti di un pagamento dovuto come corrispettivo per la prestazione di un servizio offerto da un ente pubblico.</w:t>
      </w:r>
    </w:p>
    <w:p w:rsidR="007B5F11" w:rsidRDefault="0018020A">
      <w:r>
        <w:rPr>
          <w:rFonts w:ascii="Times New Roman" w:hAnsi="Times New Roman"/>
          <w:b/>
          <w:sz w:val="24"/>
          <w:szCs w:val="24"/>
        </w:rPr>
        <w:t>Cittadinanza attiva:</w:t>
      </w:r>
      <w:r>
        <w:rPr>
          <w:rFonts w:ascii="Times New Roman" w:hAnsi="Times New Roman"/>
          <w:sz w:val="24"/>
          <w:szCs w:val="24"/>
        </w:rPr>
        <w:t xml:space="preserve"> è la partecipazione dei cittadini alla vita civile del Paese, onorando i propri doveri, conoscendo ed esigendo i propri d</w:t>
      </w:r>
      <w:r>
        <w:rPr>
          <w:rFonts w:ascii="Times New Roman" w:hAnsi="Times New Roman"/>
          <w:sz w:val="24"/>
          <w:szCs w:val="24"/>
        </w:rPr>
        <w:t>iritti e quelli altrui. </w:t>
      </w:r>
    </w:p>
    <w:p w:rsidR="007B5F11" w:rsidRDefault="0018020A">
      <w:pPr>
        <w:pStyle w:val="NormaleWeb"/>
      </w:pPr>
      <w:r>
        <w:rPr>
          <w:b/>
          <w:bCs/>
        </w:rPr>
        <w:t>Diritti civili:</w:t>
      </w:r>
      <w:r>
        <w:t xml:space="preserve"> sono l'insieme delle libertà garantite alle persone fisiche. Non riguardano solo il singolo individuo, ma possono estendersi alle organizzazioni di cui il cittadino fa parte. Possono essere definite come tutele basi</w:t>
      </w:r>
      <w:r>
        <w:t xml:space="preserve">lari della persona, garantite dalla Costituzione e disciplinate dalla legge. </w:t>
      </w:r>
    </w:p>
    <w:p w:rsidR="007B5F11" w:rsidRDefault="0018020A">
      <w:pPr>
        <w:pStyle w:val="NormaleWeb"/>
      </w:pPr>
      <w:r>
        <w:rPr>
          <w:b/>
          <w:bCs/>
        </w:rPr>
        <w:t>Barriera architettonica:</w:t>
      </w:r>
      <w:r>
        <w:t xml:space="preserve"> qualunque elemento costruttivo che impedisca o renda difficoltosi gli spostamenti o la fruizione di servizi (specialmente per le persone con limitata cap</w:t>
      </w:r>
      <w:r>
        <w:t>acità motoria o sensoriale). Perciò un elemento che non costituisce barriera architettonica per un individuo può invece esserlo per un altro di conseguenza il concetto di barriera viene percepito in maniera diversa da ogni persona.</w:t>
      </w:r>
    </w:p>
    <w:sectPr w:rsidR="007B5F11" w:rsidSect="007B5F11">
      <w:pgSz w:w="11906" w:h="16838"/>
      <w:pgMar w:top="1417"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F11" w:rsidRDefault="007B5F11" w:rsidP="007B5F11">
      <w:pPr>
        <w:spacing w:after="0" w:line="240" w:lineRule="auto"/>
      </w:pPr>
      <w:r>
        <w:separator/>
      </w:r>
    </w:p>
  </w:endnote>
  <w:endnote w:type="continuationSeparator" w:id="0">
    <w:p w:rsidR="007B5F11" w:rsidRDefault="007B5F11" w:rsidP="007B5F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F11" w:rsidRDefault="0018020A" w:rsidP="007B5F11">
      <w:pPr>
        <w:spacing w:after="0" w:line="240" w:lineRule="auto"/>
      </w:pPr>
      <w:r w:rsidRPr="007B5F11">
        <w:rPr>
          <w:color w:val="000000"/>
        </w:rPr>
        <w:separator/>
      </w:r>
    </w:p>
  </w:footnote>
  <w:footnote w:type="continuationSeparator" w:id="0">
    <w:p w:rsidR="007B5F11" w:rsidRDefault="007B5F11" w:rsidP="007B5F1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attachedTemplate r:id="rId1"/>
  <w:defaultTabStop w:val="708"/>
  <w:autoHyphenation/>
  <w:hyphenationZone w:val="283"/>
  <w:characterSpacingControl w:val="doNotCompress"/>
  <w:footnotePr>
    <w:footnote w:id="-1"/>
    <w:footnote w:id="0"/>
  </w:footnotePr>
  <w:endnotePr>
    <w:endnote w:id="-1"/>
    <w:endnote w:id="0"/>
  </w:endnotePr>
  <w:compat/>
  <w:rsids>
    <w:rsidRoot w:val="007B5F11"/>
    <w:rsid w:val="0018020A"/>
    <w:rsid w:val="007B5F1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en-US" w:bidi="ar-SA"/>
      </w:rPr>
    </w:rPrDefault>
    <w:pPrDefault>
      <w:pPr>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7B5F11"/>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7B5F11"/>
    <w:rPr>
      <w:color w:val="0000FF"/>
      <w:u w:val="single"/>
    </w:rPr>
  </w:style>
  <w:style w:type="character" w:styleId="Enfasicorsivo">
    <w:name w:val="Emphasis"/>
    <w:basedOn w:val="Carpredefinitoparagrafo"/>
    <w:rsid w:val="007B5F11"/>
    <w:rPr>
      <w:i/>
      <w:iCs/>
    </w:rPr>
  </w:style>
  <w:style w:type="paragraph" w:styleId="NormaleWeb">
    <w:name w:val="Normal (Web)"/>
    <w:basedOn w:val="Normale"/>
    <w:rsid w:val="007B5F11"/>
    <w:pPr>
      <w:spacing w:before="100" w:after="100" w:line="240" w:lineRule="auto"/>
    </w:pPr>
    <w:rPr>
      <w:rFonts w:ascii="Times New Roman" w:eastAsia="Times New Roman" w:hAnsi="Times New Roman"/>
      <w:sz w:val="24"/>
      <w:szCs w:val="24"/>
      <w:lang w:eastAsia="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ARNALDO</dc:creator>
  <cp:lastModifiedBy>.</cp:lastModifiedBy>
  <cp:revision>2</cp:revision>
  <dcterms:created xsi:type="dcterms:W3CDTF">2018-01-09T15:31:00Z</dcterms:created>
  <dcterms:modified xsi:type="dcterms:W3CDTF">2018-01-09T15:31:00Z</dcterms:modified>
</cp:coreProperties>
</file>